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698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1071"/>
        <w:gridCol w:w="8318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36" w:type="dxa"/>
            <w:textDirection w:val="lrTb"/>
            <w:noWrap w:val="false"/>
          </w:tcPr>
          <w:p>
            <w:pPr>
              <w:spacing w:line="229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1585602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</v:shape>
                  </w:pict>
                </mc:Fallback>
              </mc:AlternateConten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18" w:type="dxa"/>
            <w:textDirection w:val="lrTb"/>
            <w:noWrap w:val="false"/>
          </w:tcPr>
          <w:p>
            <w:pPr>
              <w:jc w:val="center"/>
              <w:spacing w:line="85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0" w:name="undefined"/>
      <w:r>
        <w:rPr>
          <w:sz w:val="24"/>
          <w:szCs w:val="24"/>
        </w:rPr>
        <w:t xml:space="preserve">«СГЦ.05 Безопасность жизнедеятельности»</w:t>
      </w:r>
      <w:bookmarkEnd w:id="0"/>
      <w:r/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24"/>
          </w:rPr>
          <w:t xml:space="preserve">СОДЕРЖАНИЕ ПРОГРАММЫ</w:t>
        </w:r>
        <w:r>
          <w:tab/>
        </w:r>
        <w:r>
          <w:fldChar w:fldCharType="begin"/>
        </w:r>
        <w:r>
          <w:instrText xml:space="preserve"> PAGEREF _Toc156825287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88" w:anchor="_Toc156825288" w:history="1">
        <w:r>
          <w:rPr>
            <w:rStyle w:val="824"/>
          </w:rPr>
          <w:t xml:space="preserve">1. Общая характеристика</w:t>
        </w:r>
        <w:r>
          <w:tab/>
        </w:r>
        <w:r>
          <w:fldChar w:fldCharType="begin"/>
        </w:r>
        <w:r>
          <w:instrText xml:space="preserve"> PAGEREF _Toc156825288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89" w:anchor="_Toc156825289" w:history="1">
        <w:r>
          <w:rPr>
            <w:rStyle w:val="824"/>
            <w:i w:val="0"/>
            <w:iCs w:val="0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_Toc156825289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0" w:anchor="_Toc156825290" w:history="1">
        <w:r>
          <w:rPr>
            <w:rStyle w:val="824"/>
            <w:i w:val="0"/>
            <w:iCs w:val="0"/>
          </w:rPr>
          <w:t xml:space="preserve">1.2. Планируемые результаты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_Toc156825290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1" w:anchor="_Toc156825291" w:history="1">
        <w:r>
          <w:rPr>
            <w:rStyle w:val="824"/>
          </w:rPr>
          <w:t xml:space="preserve">2. Структура и содержание ДИСЦИПЛИНЫ</w:t>
        </w:r>
        <w:r>
          <w:tab/>
        </w:r>
        <w:r>
          <w:fldChar w:fldCharType="begin"/>
        </w:r>
        <w:r>
          <w:instrText xml:space="preserve"> PAGEREF _Toc156825291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2" w:anchor="_Toc156825292" w:history="1">
        <w:r>
          <w:rPr>
            <w:rStyle w:val="824"/>
            <w:i w:val="0"/>
            <w:iCs w:val="0"/>
          </w:rPr>
          <w:t xml:space="preserve">2.1. Трудоемкость освоения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_Toc156825292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3" w:anchor="_Toc156825293" w:history="1">
        <w:r>
          <w:rPr>
            <w:rStyle w:val="824"/>
            <w:i w:val="0"/>
            <w:iCs w:val="0"/>
          </w:rPr>
          <w:t xml:space="preserve">2.2. Содержание дисциплины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_Toc156825293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5" w:anchor="_Toc156825295" w:history="1">
        <w:r>
          <w:rPr>
            <w:rStyle w:val="824"/>
            <w:i w:val="0"/>
            <w:iCs w:val="0"/>
          </w:rPr>
          <w:t xml:space="preserve">2.3. Курсовой проект (работа)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_Toc156825295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6" w:anchor="_Toc156825296" w:history="1">
        <w:r>
          <w:rPr>
            <w:rStyle w:val="824"/>
          </w:rPr>
          <w:t xml:space="preserve">3. Условия реализации ДИСЦИПЛИНЫ</w:t>
        </w:r>
        <w:r>
          <w:tab/>
        </w:r>
        <w:r>
          <w:fldChar w:fldCharType="begin"/>
        </w:r>
        <w:r>
          <w:instrText xml:space="preserve"> PAGEREF _Toc156825296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7" w:anchor="_Toc156825297" w:history="1">
        <w:r>
          <w:rPr>
            <w:rStyle w:val="824"/>
            <w:i w:val="0"/>
            <w:iCs w:val="0"/>
          </w:rPr>
          <w:t xml:space="preserve">3.1. Материально-техническое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_Toc156825297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2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/>
      <w:hyperlink w:tooltip="#_Toc156825298" w:anchor="_Toc156825298" w:history="1">
        <w:r>
          <w:rPr>
            <w:rStyle w:val="824"/>
            <w:i w:val="0"/>
            <w:iCs w:val="0"/>
          </w:rPr>
          <w:t xml:space="preserve">3.2. Учебно-методическое обеспечение</w:t>
        </w:r>
        <w:r>
          <w:rPr>
            <w:i w:val="0"/>
            <w:iCs w:val="0"/>
          </w:rPr>
          <w:tab/>
        </w:r>
        <w:r>
          <w:rPr>
            <w:i w:val="0"/>
            <w:iCs w:val="0"/>
          </w:rPr>
          <w:fldChar w:fldCharType="begin"/>
        </w:r>
        <w:r>
          <w:rPr>
            <w:i w:val="0"/>
            <w:iCs w:val="0"/>
          </w:rPr>
          <w:instrText xml:space="preserve"> PAGEREF _Toc156825298 \h </w:instrText>
        </w:r>
        <w:r>
          <w:rPr>
            <w:i w:val="0"/>
            <w:iCs w:val="0"/>
          </w:rPr>
        </w:r>
        <w:r>
          <w:rPr>
            <w:i w:val="0"/>
            <w:iCs w:val="0"/>
          </w:rPr>
          <w:fldChar w:fldCharType="separate"/>
        </w:r>
        <w:r>
          <w:rPr>
            <w:i w:val="0"/>
            <w:iCs w:val="0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  <w:r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r>
    </w:p>
    <w:p>
      <w:pPr>
        <w:pStyle w:val="831"/>
        <w:rPr>
          <w:rFonts w:asciiTheme="minorHAnsi" w:hAnsiTheme="minorHAnsi" w:eastAsiaTheme="minorEastAsia" w:cstheme="minorBidi"/>
          <w:b w:val="0"/>
          <w:bCs w:val="0"/>
          <w:lang w:eastAsia="ru-RU"/>
        </w:rPr>
      </w:pPr>
      <w:r/>
      <w:hyperlink w:tooltip="#_Toc156825299" w:anchor="_Toc156825299" w:history="1">
        <w:r>
          <w:rPr>
            <w:rStyle w:val="824"/>
          </w:rPr>
          <w:t xml:space="preserve">4. Контроль и оценка результатов  освоения ДИСЦИПЛИНЫ</w:t>
        </w:r>
        <w:r>
          <w:tab/>
        </w:r>
        <w:r>
          <w:fldChar w:fldCharType="begin"/>
        </w:r>
        <w:r>
          <w:instrText xml:space="preserve"> PAGEREF _Toc156825299 \h </w:instrText>
        </w:r>
        <w:r>
          <w:fldChar w:fldCharType="separate"/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lang w:eastAsia="ru-RU"/>
        </w:rPr>
      </w:r>
    </w:p>
    <w:p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 ОБЩАЯ ХАРАКТЕРИСТИКА РАБОЧЕЙ ПРОГРАММЫ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УЧЕБНОЙ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«СГЦ.05 Безопасность жизнедеятельности»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center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47"/>
        <w:numPr>
          <w:ilvl w:val="1"/>
          <w:numId w:val="6"/>
        </w:numPr>
        <w:spacing w:before="0" w:beforeAutospacing="0" w:after="200" w:afterAutospacing="0"/>
      </w:pPr>
      <w:r>
        <w:rPr>
          <w:b/>
          <w:bCs/>
          <w:color w:val="000000"/>
        </w:rPr>
        <w:t xml:space="preserve">Цель и место дисциплины в структуре  образовательной программы</w:t>
      </w:r>
      <w:r/>
      <w:r/>
    </w:p>
    <w:p>
      <w:pPr>
        <w:pStyle w:val="846"/>
        <w:ind w:firstLine="426"/>
        <w:jc w:val="both"/>
        <w:spacing w:before="0" w:beforeAutospacing="0" w:after="0" w:afterAutospacing="0" w:line="256" w:lineRule="auto"/>
      </w:pPr>
      <w:r>
        <w:t xml:space="preserve">Цель дисциплины «СГЦ.05 Безопасность жизнедеятельности»:</w:t>
      </w:r>
      <w:r>
        <w:rPr>
          <w:color w:val="000000"/>
          <w:shd w:val="clear" w:color="auto" w:fill="ffffff"/>
        </w:rPr>
        <w:t xml:space="preserve"> формирование у обучающихся знаний, умений и навыков в области безопасности, в том числе в чрезвычайных ситуациях. </w:t>
      </w:r>
      <w:r/>
      <w:r/>
    </w:p>
    <w:p>
      <w:pPr>
        <w:ind w:firstLine="426"/>
        <w:jc w:val="both"/>
        <w:spacing w:after="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Дисциплина «СГЦ.05 Безопасность жизнедеятельности» включена в обязательную часть социально-гуманитарного цикла образовательной программы.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1.2. Планируемые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426"/>
        <w:jc w:val="both"/>
        <w:spacing w:after="120" w:line="256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обучающийся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должен: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>
        <w:tblPrEx/>
        <w:trPr>
          <w:trHeight w:val="72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Код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Знать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/>
                <w:sz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на рабочем месте средства индивидуальной защиты от поражающих факторов при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профессиональных знаний при исполнении обязанностей военной службы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 04.  Эффективно взаимодействовать </w:t>
            </w:r>
            <w:r>
              <w:rPr>
                <w:rFonts w:ascii="Times New Roman" w:hAnsi="Times New Roman"/>
                <w:sz w:val="24"/>
              </w:rPr>
              <w:t xml:space="preserve">и работать в коллективе и команде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t xml:space="preserve">взаимодействовать с коллегами, 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природозащитной</w:t>
            </w:r>
            <w:r>
              <w:rPr>
                <w:rFonts w:ascii="Times New Roman" w:hAnsi="Times New Roman"/>
                <w:sz w:val="24"/>
              </w:rPr>
              <w:t xml:space="preserve"> среды осуществления профессиональной деятельности.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психологические аспекты деятельности трудового </w:t>
            </w:r>
            <w:r>
              <w:rPr>
                <w:rFonts w:ascii="Times New Roman" w:hAnsi="Times New Roman"/>
                <w:sz w:val="24"/>
              </w:rPr>
              <w:t xml:space="preserve">коллектива и личности для минимизации опасностей и эффективного управления рисками ЧС на рабочем месте.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6" w:type="dxa"/>
            <w:textDirection w:val="lrTb"/>
            <w:noWrap w:val="false"/>
          </w:tcPr>
          <w:p>
            <w:pPr>
              <w:jc w:val="both"/>
              <w:spacing w:after="0"/>
              <w:tabs>
                <w:tab w:val="left" w:pos="709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</w:t>
            </w:r>
            <w:r>
              <w:rPr>
                <w:rFonts w:ascii="Times New Roman" w:hAnsi="Times New Roman"/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1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действовать в чрезвычайных ситуациях мирного и военного времени;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подготовкой,  навыками обязательной подготовки к военной службе;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мероприятия доврачебной помощи пострадавшим;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первой доврачебной помощи пострадавшим;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профилактику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показатели здоровья и оценивать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74" w:type="dxa"/>
            <w:textDirection w:val="lrTb"/>
            <w:noWrap w:val="false"/>
          </w:tcPr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экологической безопасности при ведении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организацию и порядок призыва граждан на военную службу и поступления на нее в добровольном порядке;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классификацию и общие признаки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формирования здорового образа жизни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</w:tbl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spacing w:after="24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212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Ind w:w="-115" w:type="dxa"/>
        <w:tblLook w:val="04A0" w:firstRow="1" w:lastRow="0" w:firstColumn="1" w:lastColumn="0" w:noHBand="0" w:noVBand="1"/>
      </w:tblPr>
      <w:tblGrid>
        <w:gridCol w:w="7102"/>
        <w:gridCol w:w="2536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638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102" w:type="dxa"/>
            <w:vAlign w:val="center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6" w:type="dxa"/>
            <w:vAlign w:val="center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_2121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Ind w:w="-113" w:type="dxa"/>
        <w:tblLook w:val="04A0" w:firstRow="1" w:lastRow="0" w:firstColumn="1" w:lastColumn="0" w:noHBand="0" w:noVBand="1"/>
      </w:tblPr>
      <w:tblGrid>
        <w:gridCol w:w="2228"/>
        <w:gridCol w:w="8710"/>
        <w:gridCol w:w="1768"/>
        <w:gridCol w:w="1921"/>
      </w:tblGrid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разделов и тем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лабораторных и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т. ч. в форме практической подготовки, акад. ч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bookmarkStart w:id="2" w:name="_Hlk110200345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Безопасность жизнедеятельности: теоретические основы, нормативно-правовое регулирование и органы обеспечения безопасности в Российской Федерации, предупреждение, предотвращение и ликвидация последствий чрезвычайных ситуаций</w:t>
            </w:r>
            <w:bookmarkEnd w:id="2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Теоретические основы безопасности жизнедеятельности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7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Опасности и их показате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ли. Разновидности опасностей современного мира. Защита человека и окружающей среды от опасностей. Сущность понятия «безопасность жизнедеятельности». Социальные и психологические аспекты безопасности. Возникновение и развитие научных представлений о человек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природозащитной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деятельности. Представление о системе «человек – среда обитания», ее структуре и функциональных связях.  Системы безопасности и их структура. Вред, ущерб – виды и характеристики.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Норм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 и опасность нарушения норм для реализации идеи бережливого производства. </w:t>
            </w:r>
            <w:bookmarkStart w:id="3" w:name="_Hlk109638110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Алгоритмы поддержания безопасных условий жизнедеятельности на рабочем месте</w:t>
            </w:r>
            <w:bookmarkEnd w:id="3"/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зможности применения ИКТ и цифровых инструментов для поиска актуальных сведений о безопасности жизнедеятельности для принятия обоснованных решений, связанных с профессиональным контекстом обеспечения безопасности жизнедеятельности и защиты окружающей среды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Безопасное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поведение человека в чрезвычайных ситуациях и  способы защиты населения от оружия массового поражения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11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1. Правила поведения и порядок действий в чрезвычайных ситуациях природного и техногенного характера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2. Использование на рабочем месте средств индивидуальной защиты от поражающих факторов при ЧС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правовые основы обеспечения безопасности жизнедеятельности в чрезвычайных ситуациях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Единая государственная система предупреждения и ликвидации чрезвычайных ситуаций (РСЧС). Государственные службы по охране здоровья и безопасности граждан. Понятие и основны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задачи гражданской обороны. Организационная структура гражданской обороны. Основные мероприятия, проводимые ГО. Действия населения по сигналам гражданской обороны и особенности их выполнения в том случае, когда сигнал застал работника на рабочем месте. 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Номенклатура информационных источников, применяемых в сфере безопасности жизнедея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тельности: нормативно-правовые акты федерального, регионального, локального уровней, регулирующие деятельность в сфере безопасности жизнедеятельности, основы контроля и управления в сфере обеспечения безопасности жизнедеятельности и защиты окружающей среды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3. Особенности выполнения работником правил поведения и действий по сигналам гражданской обороны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Основы военной службы и медицинской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Модуль «Основы военной службы» (для юношей)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Исторический генезис военной службы в России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4. Военная служба в исторической ретроспективе и перспективе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Аксиология военной службы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6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312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Аксиология военной службы как система представлений о ценностях профессиональной служебной деятельности в военной сфере. Типология ценностей военной службы по различным основ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аниям: по отношению к военной деятельности (ценности-цели, ценности-средства, предметные и субъектные ценности); по отношению к сфере взаимодействия субъектов военной службы (военно-корпоративные и военно-профессиональные ценности); по отношению к личности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военнослужащего в сфере военной деятельности (духовные, прагматические, витальные ценности) Военная  безопасность страны, защита граждан Российской Федерации от военных угроз, обеспечение условий для обороноспособности государства  как ценности-цели, опре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деляющие поведение человека в военной сфере, его отношение к военной службе и защите Отечества. Влияние ценностных ориентаций человека на его трудовую деятельность в секторе военного производства, участие в военно-патриотическом воспитании молодежи и т. 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5 Военная служба как личностно-значимая и общественная ценность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Праксиология воинской службы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202122"/>
                <w:sz w:val="24"/>
                <w:szCs w:val="24"/>
                <w:shd w:val="clear" w:color="auto" w:fill="ffffff"/>
                <w:lang w:eastAsia="ru-RU"/>
              </w:rPr>
              <w:t xml:space="preserve">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</w:t>
            </w:r>
            <w:r>
              <w:rPr>
                <w:rFonts w:ascii="Arial" w:hAnsi="Arial" w:eastAsia="Times New Roman" w:cs="Arial"/>
                <w:color w:val="202122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Системная характеристика военной деятельности: цель, предмет, объект, субъект, содержание, способы, результат и подсистема управления.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№6. Самоподготовка будущего призывника к осуществлению военной деятельности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Строевая, огневая и физическая подготовка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7. Тренинг умений строевой и физической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2.5.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Медико-санитарная подготовка военнослужащих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 8. Тренинг умений оказания первой (доврачебной) помощи пострадавшим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обучающихся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77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9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Модуль «Основы медицинских знаний» (для девушек)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в микробиологию, иммунологию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эпидемиологию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Иммунитет и методы иммунопрофилактики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 9. Правила проведения плановых мероприятий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по дезинфекции, дезинсекции и дератизации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Оказание первой (доврачебной) помощи при неотложных состояниях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 и травматизме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№10. Тренинг умений оказания первой (доврачебной) помощи при неотложных состояниях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6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№11. Тренинг умений оказания первой (доврачебной) помощи при травматизме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0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здорового образа жизни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практических занятий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5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0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Практическое занятие № 12 Оценка физического состояния. Составление индивидуальных карт здоровья с режимом дня, графиком питания.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Зачёт.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9" w:type="dxa"/>
            <w:vAlign w:val="center"/>
            <w:textDirection w:val="lrTb"/>
            <w:noWrap w:val="false"/>
          </w:tcPr>
          <w:p>
            <w:pPr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48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03" w:type="dxa"/>
            <w:vAlign w:val="center"/>
            <w:textDirection w:val="lrTb"/>
            <w:noWrap w:val="false"/>
          </w:tcPr>
          <w:p>
            <w:pPr>
              <w:jc w:val="center"/>
              <w:spacing w:after="0" w:line="23" w:lineRule="atLeast"/>
              <w:shd w:val="clear" w:color="auto" w:fill="d9d9d9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r/>
      <w:r/>
    </w:p>
    <w:p>
      <w:pPr>
        <w:sectPr>
          <w:footnotePr/>
          <w:endnotePr/>
          <w:type w:val="nextPage"/>
          <w:pgSz w:w="16838" w:h="11906" w:orient="landscape"/>
          <w:pgMar w:top="850" w:right="1134" w:bottom="1701" w:left="1134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2121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Кабинет Основ безопасности и защиты Родины/Безопасности жизнедеятельности,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оснащенный </w:t>
      </w:r>
      <w:r>
        <w:rPr>
          <w:rStyle w:val="1_3150"/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47"/>
        <w:ind w:left="-567" w:firstLine="709"/>
        <w:jc w:val="both"/>
        <w:spacing w:before="0" w:beforeAutospacing="0" w:after="0" w:afterAutospacing="0"/>
        <w:tabs>
          <w:tab w:val="left" w:pos="709" w:leader="none"/>
        </w:tabs>
      </w:pPr>
      <w:r/>
    </w:p>
    <w:p>
      <w:pPr>
        <w:ind w:firstLine="709"/>
        <w:spacing w:after="12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t xml:space="preserve"> </w:t>
      </w:r>
      <w:r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pStyle w:val="843"/>
        <w:ind w:left="0" w:firstLine="709"/>
        <w:jc w:val="both"/>
        <w:spacing w:before="0" w:after="0" w:line="276" w:lineRule="auto"/>
      </w:pPr>
      <w:r>
        <w:t xml:space="preserve">1.</w:t>
      </w:r>
      <w:r>
        <w:t xml:space="preserve">Абрамова, С.В. Безопасность жизнедеятельности</w:t>
      </w:r>
      <w:r>
        <w:t xml:space="preserve"> :</w:t>
      </w:r>
      <w:r>
        <w:t xml:space="preserve"> учебник и практикум для среднего профессионального образования / С. В. Абрамова [и др.] ; под общей редакцией В. П. Соломина. — Москва</w:t>
      </w:r>
      <w:r>
        <w:t xml:space="preserve"> :</w:t>
      </w:r>
      <w:r>
        <w:t xml:space="preserve"> Издательство </w:t>
      </w:r>
      <w:r>
        <w:t xml:space="preserve">Юрайт</w:t>
      </w:r>
      <w:r>
        <w:t xml:space="preserve">, 2024. — 399 с. — (Профессиональное образование). — ISBN 978-5-534-02041-0. — Текст: непосредственный.</w:t>
      </w:r>
      <w:r/>
      <w:r/>
    </w:p>
    <w:p>
      <w:pPr>
        <w:pStyle w:val="843"/>
        <w:ind w:left="0" w:firstLine="709"/>
        <w:jc w:val="both"/>
        <w:spacing w:before="0" w:after="0" w:line="276" w:lineRule="auto"/>
      </w:pPr>
      <w:r>
        <w:t xml:space="preserve">2. </w:t>
      </w:r>
      <w:r>
        <w:t xml:space="preserve">Арустамов</w:t>
      </w:r>
      <w:r>
        <w:t xml:space="preserve">, Э.А. Безопасность жизнедеятельности: учебное издание / </w:t>
      </w:r>
      <w:r>
        <w:t xml:space="preserve">Арустамов</w:t>
      </w:r>
      <w:r>
        <w:t xml:space="preserve"> Э.А., Косолапова Н.В., Прокопенко Н.А., Гуськов Г.В. - Москва</w:t>
      </w:r>
      <w:r>
        <w:t xml:space="preserve"> :</w:t>
      </w:r>
      <w:r>
        <w:t xml:space="preserve"> Академия, 2023. - 208 c. (Специальности среднего профессионального образования).</w:t>
      </w:r>
      <w:r>
        <w:rPr>
          <w:rStyle w:val="1_3629"/>
        </w:rPr>
        <w:t xml:space="preserve"> - ISBN 978-5-0054-1282-9 </w:t>
      </w:r>
      <w:r>
        <w:t xml:space="preserve">— Текст: непосредственный. </w:t>
      </w:r>
      <w:r/>
      <w:r/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Косолапова, Н. В., Безопасность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Н. В. Косолапова, </w:t>
      </w:r>
      <w:r>
        <w:br/>
      </w:r>
      <w:r>
        <w:rPr>
          <w:rFonts w:ascii="Times New Roman" w:hAnsi="Times New Roman"/>
          <w:sz w:val="24"/>
        </w:rPr>
        <w:t xml:space="preserve">Н. А. Прокопенко. —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2024. — 222 с. — ISBN 978-5-406-12361-4. — Текст: непосредственный.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Сапронов Ю.Г. Безопасность жизнедеятельности: учебное издание / Сапронов Ю.Г., </w:t>
      </w:r>
      <w:r>
        <w:rPr>
          <w:rFonts w:ascii="Times New Roman" w:hAnsi="Times New Roman"/>
          <w:sz w:val="24"/>
        </w:rPr>
        <w:t xml:space="preserve">Занина</w:t>
      </w:r>
      <w:r>
        <w:rPr>
          <w:rFonts w:ascii="Times New Roman" w:hAnsi="Times New Roman"/>
          <w:sz w:val="24"/>
        </w:rPr>
        <w:t xml:space="preserve"> И. А. -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Академия, 2023. - 336 c. - (Специальности среднего профессионального образования). – ISBN 978-5-0054-1101-3 — Текст: непосредственный.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Сычев, Ю. Н. Безопасность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/ Ю.Н. Сычев. — 2-е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ИНФРА-М, 2024. — 225 </w:t>
      </w:r>
      <w:r>
        <w:rPr>
          <w:rFonts w:ascii="Times New Roman" w:hAnsi="Times New Roman"/>
          <w:sz w:val="24"/>
        </w:rPr>
        <w:t xml:space="preserve">с</w:t>
      </w:r>
      <w:r>
        <w:rPr>
          <w:rFonts w:ascii="Times New Roman" w:hAnsi="Times New Roman"/>
          <w:sz w:val="24"/>
        </w:rPr>
        <w:t xml:space="preserve">. — (Среднее профессиональное образование). - ISBN 978-5-16-018956-7.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spacing w:after="0" w:line="273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Style w:val="1_3630"/>
          <w:rFonts w:ascii="Times New Roman" w:hAnsi="Times New Roman" w:cs="Times New Roman"/>
          <w:b/>
          <w:bCs/>
          <w:iCs/>
          <w:sz w:val="24"/>
          <w:szCs w:val="24"/>
        </w:rPr>
        <w:t xml:space="preserve">3.2.2. Дополнительные источники</w:t>
      </w:r>
      <w:r>
        <w:rPr>
          <w:rStyle w:val="1_3630"/>
          <w:rFonts w:ascii="Times New Roman" w:hAnsi="Times New Roman" w:cs="Times New Roman"/>
          <w:b/>
          <w:bCs/>
          <w:iCs/>
          <w:sz w:val="24"/>
          <w:szCs w:val="24"/>
        </w:rPr>
      </w:r>
      <w:r>
        <w:rPr>
          <w:rStyle w:val="1_3630"/>
          <w:rFonts w:ascii="Times New Roman" w:hAnsi="Times New Roman" w:cs="Times New Roman"/>
          <w:b/>
          <w:bCs/>
          <w:iCs/>
          <w:sz w:val="24"/>
          <w:szCs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Безопасность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практикум для СПО / составители С. М. </w:t>
      </w:r>
      <w:r>
        <w:rPr>
          <w:rFonts w:ascii="Times New Roman" w:hAnsi="Times New Roman"/>
          <w:sz w:val="24"/>
        </w:rPr>
        <w:t xml:space="preserve">Гребенкин</w:t>
      </w:r>
      <w:r>
        <w:rPr>
          <w:rFonts w:ascii="Times New Roman" w:hAnsi="Times New Roman"/>
          <w:sz w:val="24"/>
        </w:rPr>
        <w:t xml:space="preserve">, В. А. </w:t>
      </w:r>
      <w:r>
        <w:rPr>
          <w:rFonts w:ascii="Times New Roman" w:hAnsi="Times New Roman"/>
          <w:sz w:val="24"/>
        </w:rPr>
        <w:t xml:space="preserve">Майнингер</w:t>
      </w:r>
      <w:r>
        <w:rPr>
          <w:rFonts w:ascii="Times New Roman" w:hAnsi="Times New Roman"/>
          <w:sz w:val="24"/>
        </w:rPr>
        <w:t xml:space="preserve">. —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Ай</w:t>
      </w:r>
      <w:r>
        <w:rPr>
          <w:rFonts w:ascii="Times New Roman" w:hAnsi="Times New Roman"/>
          <w:sz w:val="24"/>
        </w:rPr>
        <w:t xml:space="preserve"> Пи Ар Медиа, 2023. — 87 c. — ISBN 978-5-4497-2205-8.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Цифровой образовательный ресурс IPR SMART : [сайт]. — URL: </w:t>
      </w:r>
      <w:hyperlink r:id="rId9" w:tooltip="https://www.iprbookshop.ru/131103.html" w:history="1">
        <w:r>
          <w:rPr>
            <w:rStyle w:val="824"/>
            <w:rFonts w:eastAsiaTheme="minorHAnsi"/>
          </w:rPr>
          <w:t xml:space="preserve">https://www.iprbookshop.ru/131103.html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Академия, 2023. - (Профессии среднего профессионального образования).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 - URL: </w:t>
      </w:r>
      <w:hyperlink r:id="rId10" w:tooltip="https://academia-moscow.ru/catalogue/5540/692259" w:history="1">
        <w:r>
          <w:rPr>
            <w:rStyle w:val="824"/>
            <w:rFonts w:eastAsiaTheme="minorHAnsi"/>
          </w:rPr>
          <w:t xml:space="preserve">https://academia-moscow.ru/catalogue/5540/692259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Мисюк</w:t>
      </w:r>
      <w:r>
        <w:rPr>
          <w:rFonts w:ascii="Times New Roman" w:hAnsi="Times New Roman"/>
          <w:sz w:val="24"/>
        </w:rPr>
        <w:t xml:space="preserve">, М. Н.  Основы медицинских знаний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 / М. Н. </w:t>
      </w:r>
      <w:r>
        <w:rPr>
          <w:rFonts w:ascii="Times New Roman" w:hAnsi="Times New Roman"/>
          <w:sz w:val="24"/>
        </w:rPr>
        <w:t xml:space="preserve">Мисюк</w:t>
      </w:r>
      <w:r>
        <w:rPr>
          <w:rFonts w:ascii="Times New Roman" w:hAnsi="Times New Roman"/>
          <w:sz w:val="24"/>
        </w:rPr>
        <w:t xml:space="preserve">. — 4-е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 — Москва 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379 с. — (Профессиональное образование). — ISBN 978-5-534-17442-7.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https://urait.ru/bcode/536769. 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Микрюков</w:t>
      </w:r>
      <w:r>
        <w:rPr>
          <w:rFonts w:ascii="Times New Roman" w:hAnsi="Times New Roman"/>
          <w:sz w:val="24"/>
        </w:rPr>
        <w:t xml:space="preserve">, В. Ю., Основы военной службы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В. Ю. </w:t>
      </w:r>
      <w:r>
        <w:rPr>
          <w:rFonts w:ascii="Times New Roman" w:hAnsi="Times New Roman"/>
          <w:sz w:val="24"/>
        </w:rPr>
        <w:t xml:space="preserve">Микрюков</w:t>
      </w:r>
      <w:r>
        <w:rPr>
          <w:rFonts w:ascii="Times New Roman" w:hAnsi="Times New Roman"/>
          <w:sz w:val="24"/>
        </w:rPr>
        <w:t xml:space="preserve">, В. Г. </w:t>
      </w:r>
      <w:r>
        <w:rPr>
          <w:rFonts w:ascii="Times New Roman" w:hAnsi="Times New Roman"/>
          <w:sz w:val="24"/>
        </w:rPr>
        <w:t xml:space="preserve">Шамаев</w:t>
      </w:r>
      <w:r>
        <w:rPr>
          <w:rFonts w:ascii="Times New Roman" w:hAnsi="Times New Roman"/>
          <w:sz w:val="24"/>
        </w:rPr>
        <w:t xml:space="preserve">. — Москва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2023. — 505 с. — ISBN 978-5-406-10496-5. — URL: https://book.ru/book/945216.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Михаилиди</w:t>
      </w:r>
      <w:r>
        <w:rPr>
          <w:rFonts w:ascii="Times New Roman" w:hAnsi="Times New Roman"/>
          <w:sz w:val="24"/>
        </w:rPr>
        <w:t xml:space="preserve">, А. М. Безопасность жизнедеятельности и охрана труда на производстве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для СПО / А. М. </w:t>
      </w:r>
      <w:r>
        <w:rPr>
          <w:rFonts w:ascii="Times New Roman" w:hAnsi="Times New Roman"/>
          <w:sz w:val="24"/>
        </w:rPr>
        <w:t xml:space="preserve">Михаилиди</w:t>
      </w:r>
      <w:r>
        <w:rPr>
          <w:rFonts w:ascii="Times New Roman" w:hAnsi="Times New Roman"/>
          <w:sz w:val="24"/>
        </w:rPr>
        <w:t xml:space="preserve">. — 2-е изд. — Саратов : Профобразование, 2024. — 120 c. — ISBN 978-5-4488-1333-7.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/>
          <w:sz w:val="24"/>
        </w:rPr>
        <w:t xml:space="preserve">PROFобразование</w:t>
      </w:r>
      <w:r>
        <w:rPr>
          <w:rFonts w:ascii="Times New Roman" w:hAnsi="Times New Roman"/>
          <w:sz w:val="24"/>
        </w:rPr>
        <w:t xml:space="preserve"> : [сайт]. — URL: </w:t>
      </w:r>
      <w:hyperlink r:id="rId11" w:tooltip="https://profspo.ru/books/137705" w:history="1">
        <w:r>
          <w:rPr>
            <w:rStyle w:val="824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https://profspo.ru/books/137705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Резчиков, Е. А.  Безопасность жизнедеятельности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 / Е. А. Резчиков, А. В. Рязанцева. 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 — Москва 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639 с. — (Профессиональное образование). — ISBN 978-5-534-17400-7.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42696" w:history="1">
        <w:r>
          <w:rPr>
            <w:rStyle w:val="824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https://urait.ru/bcode/542696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Родионова, О. М.  Медико-биологические основы безопасности. Охрана труда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О. М. Родионова, Е. В. Аникина, Б. И. </w:t>
      </w:r>
      <w:r>
        <w:rPr>
          <w:rFonts w:ascii="Times New Roman" w:hAnsi="Times New Roman"/>
          <w:sz w:val="24"/>
        </w:rPr>
        <w:t xml:space="preserve">Лавер</w:t>
      </w:r>
      <w:r>
        <w:rPr>
          <w:rFonts w:ascii="Times New Roman" w:hAnsi="Times New Roman"/>
          <w:sz w:val="24"/>
        </w:rPr>
        <w:t xml:space="preserve">, Д. А. Семенов. 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599 с. — (Профессиональное образование). — ISBN 978-5-534-17182-2.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8055" w:history="1">
        <w:r>
          <w:rPr>
            <w:rStyle w:val="824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https://urait.ru/bcode/538055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Суворова, Г. М. Методика обучения безопасности жизнедеятельности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 / Г. М. Суворова, В. Д. </w:t>
      </w:r>
      <w:r>
        <w:rPr>
          <w:rFonts w:ascii="Times New Roman" w:hAnsi="Times New Roman"/>
          <w:sz w:val="24"/>
        </w:rPr>
        <w:t xml:space="preserve">Горичева</w:t>
      </w:r>
      <w:r>
        <w:rPr>
          <w:rFonts w:ascii="Times New Roman" w:hAnsi="Times New Roman"/>
          <w:sz w:val="24"/>
        </w:rPr>
        <w:t xml:space="preserve">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212 с. — (Профессиональное образование). — ISBN 978-5-534-09079-6.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4" w:tooltip="https://urait.ru/bcode/538524" w:history="1">
        <w:r>
          <w:rPr>
            <w:rStyle w:val="824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https://urait.ru/bcode/538524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Суворова, Г. М.  Психологические основы безопасности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и практикум для среднего профессионального образования / Г. М. Суворова.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2023. — 183 с. — (Профессиональное образование). — ISBN 978-5-534-09277-6.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5" w:tooltip="https://urait.ru/bcode/513805" w:history="1">
        <w:r>
          <w:rPr>
            <w:rStyle w:val="824"/>
            <w:rFonts w:ascii="Times New Roman" w:hAnsi="Times New Roman" w:eastAsiaTheme="minorHAnsi" w:cstheme="minorBidi"/>
            <w:sz w:val="24"/>
            <w:szCs w:val="22"/>
            <w:lang w:eastAsia="en-US"/>
          </w:rPr>
          <w:t xml:space="preserve">https://urait.ru/bcode/513805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numPr>
          <w:ilvl w:val="0"/>
          <w:numId w:val="7"/>
        </w:numPr>
        <w:ind w:left="0" w:firstLine="709"/>
        <w:jc w:val="both"/>
        <w:spacing w:after="0"/>
        <w:tabs>
          <w:tab w:val="left" w:pos="993" w:leader="none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Официальный сайт МЧС РФ [Электронный ресурс</w:t>
      </w:r>
      <w:r>
        <w:rPr>
          <w:rFonts w:ascii="Times New Roman" w:hAnsi="Times New Roman"/>
          <w:sz w:val="24"/>
          <w:szCs w:val="24"/>
        </w:rPr>
        <w:t xml:space="preserve">] - URL: </w:t>
      </w:r>
      <w:hyperlink r:id="rId16" w:tooltip="http://www.mchs.gov.ru" w:history="1">
        <w:r>
          <w:rPr>
            <w:rStyle w:val="824"/>
            <w:rFonts w:ascii="Times New Roman" w:hAnsi="Times New Roman" w:eastAsiaTheme="minorHAnsi"/>
            <w:sz w:val="24"/>
            <w:szCs w:val="24"/>
          </w:rPr>
          <w:t xml:space="preserve">http://www.mchs.gov.ru</w:t>
        </w:r>
      </w:hyperlink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pStyle w:val="847"/>
        <w:jc w:val="both"/>
        <w:spacing w:before="0" w:beforeAutospacing="0" w:after="0" w:afterAutospacing="0"/>
      </w:pP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pStyle w:val="847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pStyle w:val="847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pStyle w:val="847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pStyle w:val="847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pStyle w:val="847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r>
        <w:rPr>
          <w:rFonts w:ascii="Calibri" w:hAnsi="Calibri" w:cs="Calibri"/>
          <w:color w:val="000000"/>
          <w:sz w:val="22"/>
          <w:szCs w:val="22"/>
        </w:rPr>
        <w:br w:type="page" w:clear="all"/>
      </w:r>
      <w:r>
        <w:rPr>
          <w:rFonts w:ascii="Calibri" w:hAnsi="Calibri" w:cs="Calibri"/>
          <w:color w:val="000000"/>
          <w:sz w:val="22"/>
          <w:szCs w:val="22"/>
        </w:rPr>
        <w:t xml:space="preserve"> </w:t>
      </w:r>
      <w:r>
        <w:rPr>
          <w:rFonts w:ascii="Calibri" w:hAnsi="Calibri" w:cs="Calibri"/>
          <w:color w:val="000000"/>
          <w:sz w:val="22"/>
          <w:szCs w:val="22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 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576" w:type="dxa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Результаты обучения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jc w:val="center"/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Показатели освоенности компетенций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нормы экологической безопасности при ведении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знает нормы экологической безопасности при ведении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участвовать в работе коллектива, команды, </w:t>
            </w:r>
            <w:r>
              <w:rPr>
                <w:rFonts w:ascii="Times New Roman" w:hAnsi="Times New Roman"/>
                <w:sz w:val="24"/>
              </w:rPr>
              <w:t xml:space="preserve">взаимодействовать с коллегами, 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</w:t>
            </w:r>
            <w:r>
              <w:rPr>
                <w:rFonts w:ascii="Times New Roman" w:hAnsi="Times New Roman"/>
                <w:sz w:val="24"/>
              </w:rPr>
              <w:t xml:space="preserve">-защитной среды осуществления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действовать в чрезвычайных ситуациях мирного и военного времени;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нормы экологической безопасности на рабочем месте;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на рабочем месте средства индивидуальной защиты от поражающих факторов при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203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соблюдать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эффективно участвует в работе коллектива, команды, взаимодействует с коллегами, </w:t>
            </w:r>
            <w:r>
              <w:rPr>
                <w:rFonts w:ascii="Times New Roman" w:hAnsi="Times New Roman"/>
                <w:sz w:val="24"/>
              </w:rPr>
              <w:t xml:space="preserve">руководством, клиентами для создания человеко - и </w:t>
            </w:r>
            <w:r>
              <w:rPr>
                <w:rFonts w:ascii="Times New Roman" w:hAnsi="Times New Roman"/>
                <w:sz w:val="24"/>
              </w:rPr>
              <w:t xml:space="preserve">природо</w:t>
            </w:r>
            <w:r>
              <w:rPr>
                <w:rFonts w:ascii="Times New Roman" w:hAnsi="Times New Roman"/>
                <w:sz w:val="24"/>
              </w:rPr>
              <w:t xml:space="preserve">-защитной среды осуществления профессиональной деятельности;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соблюдает нормы экологической безопасности на  рабочем месте;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использует на рабочем месте средства индивидуальной защиты от поражающих факторов при ЧС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соблюдает правила поведения и порядок действий населения по сигналам гражданской обороны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знаний, осваиваемых в рамках модуля «Основы военной службы» (юноши)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организацию и порядок призыва граждан на военную службу и поступления на нее в добровольном порядке;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область применения получаемых профессиональных знаний при исполнении обязанностей военной службы;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боевые традиции Вооруженных Сил России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 об основах военной безопасности и обороны государства;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keepNext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не уклоняется от службы в  рядах ВС РФ;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владение основами строевой, огневой и тактической подготовки;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применяет профессиональные знания при исполнении обязанностей военной службы;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знания</w:t>
            </w:r>
            <w:r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боевых традиций Вооруженных Сил России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умений, осваиваемых в рамках модуля «Основы военной службы» (юноши)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</w:tc>
      </w:tr>
      <w:tr>
        <w:tblPrEx/>
        <w:trPr>
          <w:trHeight w:val="18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0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владеть общей физической и строевой подготовкой,  навыками обязательной подготовки к военной службе;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выполнять мероприятия доврачебной помощи пострадавшим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  <w:shd w:val="clear" w:color="auto" w:fill="ffa2cf"/>
              </w:rPr>
            </w:pP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  <w:r>
              <w:rPr>
                <w:rFonts w:ascii="Times New Roman" w:hAnsi="Times New Roman"/>
                <w:sz w:val="24"/>
                <w:shd w:val="clear" w:color="auto" w:fill="ffa2cf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знаний, осваиваемых в рамках модуля «Основы медицинских знаний» (для девушек)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Знает: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характеристики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классификацию и общие признаки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формирования здорового образа жизни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знаниями о последствиях поражений организма человека от воздействий опасных факторов;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приемы </w:t>
            </w:r>
            <w:r>
              <w:rPr>
                <w:rFonts w:ascii="Times New Roman" w:hAnsi="Times New Roman"/>
              </w:rPr>
              <w:t xml:space="preserve">оказания первой медико-санитарной помощи, владеет методами доврачебной реанимации;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правильно классифицирует инфекционные </w:t>
            </w:r>
            <w:r>
              <w:rPr>
                <w:rFonts w:ascii="Times New Roman" w:hAnsi="Times New Roman"/>
                <w:sz w:val="24"/>
              </w:rPr>
              <w:t xml:space="preserve">заболевания</w:t>
            </w:r>
            <w:r>
              <w:rPr>
                <w:rFonts w:ascii="Times New Roman" w:hAnsi="Times New Roman"/>
                <w:sz w:val="24"/>
              </w:rPr>
              <w:t xml:space="preserve"> демонстрирует знания основ здорового образа жизни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76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Перечень умений, осваиваемых в рамках модуля «Основы медицинских знаний» (для девушек)</w:t>
            </w:r>
            <w:r>
              <w:rPr>
                <w:rFonts w:ascii="Times New Roman" w:hAnsi="Times New Roman"/>
                <w:i/>
                <w:sz w:val="24"/>
              </w:rPr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91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Умеет:</w:t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основы оказания первой доврачебной помощи пострадавшим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профилактику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0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определять показатели здоровья и оценивать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  <w:r>
              <w:rPr>
                <w:rFonts w:ascii="Times New Roman" w:hAnsi="Times New Roman"/>
                <w:sz w:val="24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91" w:type="dxa"/>
            <w:textDirection w:val="lrTb"/>
            <w:noWrap w:val="false"/>
          </w:tcPr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демонстрирует основы оказания первой доврачебной помощи пострадавшим 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владеет принципами профилактики инфекционных заболеваний;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определяет показатели здоровья и оценивает физическое состояние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ind w:firstLine="316"/>
              <w:jc w:val="both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94" w:type="dxa"/>
            <w:textDirection w:val="lrTb"/>
            <w:noWrap w:val="false"/>
          </w:tcPr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73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847"/>
        <w:jc w:val="both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  <w:highlight w:val="none"/>
        </w:rPr>
      </w:pPr>
      <w:r>
        <w:rPr>
          <w:rFonts w:ascii="Calibri" w:hAnsi="Calibri" w:cs="Calibri"/>
          <w:color w:val="000000"/>
          <w:sz w:val="22"/>
          <w:szCs w:val="22"/>
        </w:rPr>
      </w:r>
      <w:r/>
      <w:r/>
    </w:p>
    <w:p>
      <w:pPr>
        <w:pStyle w:val="847"/>
        <w:spacing w:before="0" w:beforeAutospacing="0" w:after="200" w:afterAutospacing="0" w:line="273" w:lineRule="auto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 Полужирный"/>
  <w:font w:name="Times New Roman">
    <w:panose1 w:val="02020603050405020304"/>
  </w:font>
  <w:font w:name="Tahoma">
    <w:panose1 w:val="020B0506030602030204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3">
    <w:abstractNumId w:val="2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4">
    <w:abstractNumId w:val="1"/>
    <w:lvlOverride w:ilvl="0">
      <w:lvl w:ilvl="0">
        <w:start w:val="1"/>
        <w:numFmt w:val="decimal"/>
        <w:isLgl w:val="false"/>
        <w:suff w:val="tab"/>
        <w:lvlText w:val="%1."/>
        <w:lvlJc w:val="left"/>
        <w:pPr/>
      </w:lvl>
    </w:lvlOverride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72"/>
    <w:link w:val="663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72"/>
    <w:link w:val="664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72"/>
    <w:link w:val="684"/>
    <w:uiPriority w:val="10"/>
    <w:rPr>
      <w:sz w:val="48"/>
      <w:szCs w:val="48"/>
    </w:rPr>
  </w:style>
  <w:style w:type="character" w:styleId="37">
    <w:name w:val="Subtitle Char"/>
    <w:basedOn w:val="672"/>
    <w:link w:val="686"/>
    <w:uiPriority w:val="11"/>
    <w:rPr>
      <w:sz w:val="24"/>
      <w:szCs w:val="24"/>
    </w:rPr>
  </w:style>
  <w:style w:type="character" w:styleId="39">
    <w:name w:val="Quote Char"/>
    <w:link w:val="688"/>
    <w:uiPriority w:val="29"/>
    <w:rPr>
      <w:i/>
    </w:rPr>
  </w:style>
  <w:style w:type="character" w:styleId="41">
    <w:name w:val="Intense Quote Char"/>
    <w:link w:val="690"/>
    <w:uiPriority w:val="30"/>
    <w:rPr>
      <w:i/>
    </w:rPr>
  </w:style>
  <w:style w:type="character" w:styleId="43">
    <w:name w:val="Header Char"/>
    <w:basedOn w:val="672"/>
    <w:link w:val="692"/>
    <w:uiPriority w:val="99"/>
  </w:style>
  <w:style w:type="character" w:styleId="47">
    <w:name w:val="Caption Char"/>
    <w:basedOn w:val="696"/>
    <w:link w:val="694"/>
    <w:uiPriority w:val="99"/>
  </w:style>
  <w:style w:type="character" w:styleId="176">
    <w:name w:val="Footnote Text Char"/>
    <w:link w:val="825"/>
    <w:uiPriority w:val="99"/>
    <w:rPr>
      <w:sz w:val="18"/>
    </w:rPr>
  </w:style>
  <w:style w:type="character" w:styleId="179">
    <w:name w:val="Endnote Text Char"/>
    <w:link w:val="828"/>
    <w:uiPriority w:val="99"/>
    <w:rPr>
      <w:sz w:val="20"/>
    </w:rPr>
  </w:style>
  <w:style w:type="paragraph" w:styleId="662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63">
    <w:name w:val="Heading 1"/>
    <w:basedOn w:val="662"/>
    <w:next w:val="662"/>
    <w:link w:val="675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64">
    <w:name w:val="Heading 2"/>
    <w:basedOn w:val="663"/>
    <w:next w:val="662"/>
    <w:link w:val="676"/>
    <w:uiPriority w:val="9"/>
    <w:unhideWhenUsed/>
    <w:qFormat/>
    <w:pPr>
      <w:outlineLvl w:val="1"/>
    </w:pPr>
  </w:style>
  <w:style w:type="paragraph" w:styleId="665">
    <w:name w:val="Heading 3"/>
    <w:basedOn w:val="662"/>
    <w:next w:val="662"/>
    <w:link w:val="677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66">
    <w:name w:val="Heading 4"/>
    <w:basedOn w:val="662"/>
    <w:next w:val="662"/>
    <w:link w:val="678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67">
    <w:name w:val="Heading 5"/>
    <w:basedOn w:val="662"/>
    <w:next w:val="662"/>
    <w:link w:val="679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68">
    <w:name w:val="Heading 6"/>
    <w:basedOn w:val="662"/>
    <w:next w:val="662"/>
    <w:link w:val="680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69">
    <w:name w:val="Heading 7"/>
    <w:basedOn w:val="662"/>
    <w:next w:val="662"/>
    <w:link w:val="681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82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71">
    <w:name w:val="Heading 9"/>
    <w:basedOn w:val="662"/>
    <w:next w:val="662"/>
    <w:link w:val="683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Заголовок 1 Знак"/>
    <w:link w:val="663"/>
    <w:uiPriority w:val="9"/>
    <w:rPr>
      <w:rFonts w:ascii="Liberation Sans" w:hAnsi="Liberation Sans" w:eastAsia="Liberation Sans" w:cs="Liberation Sans"/>
    </w:rPr>
  </w:style>
  <w:style w:type="character" w:styleId="676" w:customStyle="1">
    <w:name w:val="Заголовок 2 Знак"/>
    <w:link w:val="664"/>
    <w:uiPriority w:val="9"/>
    <w:rPr>
      <w:rFonts w:ascii="Liberation Sans" w:hAnsi="Liberation Sans" w:eastAsia="Liberation Sans" w:cs="Liberation Sans"/>
      <w:sz w:val="34"/>
    </w:rPr>
  </w:style>
  <w:style w:type="character" w:styleId="677" w:customStyle="1">
    <w:name w:val="Заголовок 3 Знак"/>
    <w:link w:val="665"/>
    <w:uiPriority w:val="9"/>
    <w:rPr>
      <w:rFonts w:ascii="Liberation Sans" w:hAnsi="Liberation Sans" w:cs="Liberation Sans"/>
    </w:rPr>
  </w:style>
  <w:style w:type="character" w:styleId="678" w:customStyle="1">
    <w:name w:val="Заголовок 4 Знак"/>
    <w:link w:val="666"/>
    <w:uiPriority w:val="9"/>
    <w:rPr>
      <w:rFonts w:ascii="Liberation Sans" w:hAnsi="Liberation Sans" w:eastAsia="Liberation Sans" w:cs="Liberation Sans"/>
    </w:rPr>
  </w:style>
  <w:style w:type="character" w:styleId="679" w:customStyle="1">
    <w:name w:val="Заголовок 5 Знак"/>
    <w:link w:val="667"/>
    <w:uiPriority w:val="9"/>
    <w:rPr>
      <w:rFonts w:ascii="Liberation Sans" w:hAnsi="Liberation Sans" w:eastAsia="Liberation Sans" w:cs="Liberation Sans"/>
    </w:rPr>
  </w:style>
  <w:style w:type="character" w:styleId="680" w:customStyle="1">
    <w:name w:val="Заголовок 6 Знак"/>
    <w:link w:val="668"/>
    <w:uiPriority w:val="9"/>
    <w:rPr>
      <w:rFonts w:ascii="Liberation Sans" w:hAnsi="Liberation Sans" w:eastAsia="Liberation Sans" w:cs="Liberation Sans"/>
    </w:rPr>
  </w:style>
  <w:style w:type="character" w:styleId="681" w:customStyle="1">
    <w:name w:val="Заголовок 7 Знак"/>
    <w:link w:val="669"/>
    <w:uiPriority w:val="9"/>
    <w:rPr>
      <w:rFonts w:ascii="Liberation Sans" w:hAnsi="Liberation Sans" w:eastAsia="Liberation Sans" w:cs="Liberation Sans"/>
    </w:rPr>
  </w:style>
  <w:style w:type="character" w:styleId="682" w:customStyle="1">
    <w:name w:val="Заголовок 8 Знак"/>
    <w:link w:val="670"/>
    <w:uiPriority w:val="9"/>
    <w:rPr>
      <w:rFonts w:ascii="Liberation Sans" w:hAnsi="Liberation Sans" w:eastAsia="Liberation Sans" w:cs="Liberation Sans"/>
    </w:rPr>
  </w:style>
  <w:style w:type="character" w:styleId="683" w:customStyle="1">
    <w:name w:val="Заголовок 9 Знак"/>
    <w:link w:val="671"/>
    <w:uiPriority w:val="9"/>
    <w:rPr>
      <w:rFonts w:ascii="Liberation Sans" w:hAnsi="Liberation Sans" w:eastAsia="Liberation Sans" w:cs="Liberation Sans"/>
    </w:rPr>
  </w:style>
  <w:style w:type="paragraph" w:styleId="684">
    <w:name w:val="Title"/>
    <w:basedOn w:val="662"/>
    <w:next w:val="662"/>
    <w:link w:val="685"/>
    <w:uiPriority w:val="10"/>
    <w:qFormat/>
    <w:pPr>
      <w:contextualSpacing/>
      <w:spacing w:before="300"/>
    </w:pPr>
    <w:rPr>
      <w:sz w:val="48"/>
      <w:szCs w:val="48"/>
    </w:rPr>
  </w:style>
  <w:style w:type="character" w:styleId="685" w:customStyle="1">
    <w:name w:val="Название Знак"/>
    <w:link w:val="684"/>
    <w:uiPriority w:val="10"/>
    <w:rPr>
      <w:sz w:val="48"/>
      <w:szCs w:val="48"/>
    </w:rPr>
  </w:style>
  <w:style w:type="paragraph" w:styleId="686">
    <w:name w:val="Subtitle"/>
    <w:basedOn w:val="662"/>
    <w:next w:val="662"/>
    <w:link w:val="687"/>
    <w:uiPriority w:val="11"/>
    <w:qFormat/>
    <w:pPr>
      <w:spacing w:before="200"/>
    </w:pPr>
    <w:rPr>
      <w:sz w:val="24"/>
      <w:szCs w:val="24"/>
    </w:rPr>
  </w:style>
  <w:style w:type="character" w:styleId="687" w:customStyle="1">
    <w:name w:val="Подзаголовок Знак"/>
    <w:link w:val="686"/>
    <w:uiPriority w:val="11"/>
    <w:rPr>
      <w:sz w:val="24"/>
      <w:szCs w:val="24"/>
    </w:rPr>
  </w:style>
  <w:style w:type="paragraph" w:styleId="688">
    <w:name w:val="Quote"/>
    <w:basedOn w:val="662"/>
    <w:next w:val="662"/>
    <w:link w:val="689"/>
    <w:uiPriority w:val="29"/>
    <w:qFormat/>
    <w:pPr>
      <w:ind w:left="720" w:right="720"/>
    </w:pPr>
    <w:rPr>
      <w:i/>
    </w:rPr>
  </w:style>
  <w:style w:type="character" w:styleId="689" w:customStyle="1">
    <w:name w:val="Цитата 2 Знак"/>
    <w:link w:val="688"/>
    <w:uiPriority w:val="29"/>
    <w:rPr>
      <w:i/>
    </w:rPr>
  </w:style>
  <w:style w:type="paragraph" w:styleId="690">
    <w:name w:val="Intense Quote"/>
    <w:basedOn w:val="662"/>
    <w:next w:val="662"/>
    <w:link w:val="6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 w:customStyle="1">
    <w:name w:val="Выделенная цитата Знак"/>
    <w:link w:val="690"/>
    <w:uiPriority w:val="30"/>
    <w:rPr>
      <w:i/>
    </w:rPr>
  </w:style>
  <w:style w:type="paragraph" w:styleId="692">
    <w:name w:val="Header"/>
    <w:basedOn w:val="662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 w:customStyle="1">
    <w:name w:val="Верхний колонтитул Знак"/>
    <w:link w:val="692"/>
    <w:uiPriority w:val="99"/>
  </w:style>
  <w:style w:type="paragraph" w:styleId="694">
    <w:name w:val="Footer"/>
    <w:basedOn w:val="66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 w:customStyle="1">
    <w:name w:val="Footer Char"/>
    <w:uiPriority w:val="99"/>
  </w:style>
  <w:style w:type="paragraph" w:styleId="696">
    <w:name w:val="Caption"/>
    <w:basedOn w:val="662"/>
    <w:next w:val="662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7" w:customStyle="1">
    <w:name w:val="Нижний колонтитул Знак"/>
    <w:link w:val="694"/>
    <w:uiPriority w:val="99"/>
  </w:style>
  <w:style w:type="table" w:styleId="698">
    <w:name w:val="Table Grid"/>
    <w:basedOn w:val="67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 w:customStyle="1">
    <w:name w:val="Table Grid Light"/>
    <w:basedOn w:val="67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 w:customStyle="1">
    <w:name w:val="Plain Table 1"/>
    <w:basedOn w:val="67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 w:customStyle="1">
    <w:name w:val="Plain Table 2"/>
    <w:basedOn w:val="67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 w:customStyle="1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 w:customStyle="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8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9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0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1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2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3" w:customStyle="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37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38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1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2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3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4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5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6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7" w:customStyle="1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4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5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6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8" w:customStyle="1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6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7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0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1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2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3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4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5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6" w:customStyle="1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05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06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07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08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09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0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2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3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4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5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6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7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8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9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0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1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2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3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563c1" w:themeColor="hyperlink"/>
      <w:u w:val="single"/>
    </w:rPr>
  </w:style>
  <w:style w:type="paragraph" w:styleId="825">
    <w:name w:val="footnote text"/>
    <w:basedOn w:val="66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 w:customStyle="1">
    <w:name w:val="Текст сноски Знак"/>
    <w:link w:val="825"/>
    <w:uiPriority w:val="99"/>
    <w:rPr>
      <w:sz w:val="18"/>
    </w:rPr>
  </w:style>
  <w:style w:type="character" w:styleId="827">
    <w:name w:val="footnote reference"/>
    <w:uiPriority w:val="99"/>
    <w:unhideWhenUsed/>
    <w:rPr>
      <w:vertAlign w:val="superscript"/>
    </w:rPr>
  </w:style>
  <w:style w:type="paragraph" w:styleId="828">
    <w:name w:val="endnote text"/>
    <w:basedOn w:val="662"/>
    <w:link w:val="829"/>
    <w:uiPriority w:val="99"/>
    <w:semiHidden/>
    <w:unhideWhenUsed/>
    <w:pPr>
      <w:spacing w:after="0" w:line="240" w:lineRule="auto"/>
    </w:pPr>
  </w:style>
  <w:style w:type="character" w:styleId="829" w:customStyle="1">
    <w:name w:val="Текст концевой сноски Знак"/>
    <w:link w:val="828"/>
    <w:uiPriority w:val="99"/>
    <w:rPr>
      <w:sz w:val="20"/>
    </w:rPr>
  </w:style>
  <w:style w:type="character" w:styleId="830">
    <w:name w:val="endnote reference"/>
    <w:uiPriority w:val="99"/>
    <w:semiHidden/>
    <w:unhideWhenUsed/>
    <w:rPr>
      <w:vertAlign w:val="superscript"/>
    </w:rPr>
  </w:style>
  <w:style w:type="paragraph" w:styleId="831">
    <w:name w:val="toc 1"/>
    <w:basedOn w:val="662"/>
    <w:next w:val="662"/>
    <w:uiPriority w:val="39"/>
    <w:unhideWhenUsed/>
    <w:pPr>
      <w:spacing w:after="57"/>
    </w:pPr>
  </w:style>
  <w:style w:type="paragraph" w:styleId="832">
    <w:name w:val="toc 2"/>
    <w:basedOn w:val="662"/>
    <w:next w:val="662"/>
    <w:uiPriority w:val="39"/>
    <w:unhideWhenUsed/>
    <w:pPr>
      <w:ind w:left="283"/>
      <w:spacing w:after="57"/>
    </w:pPr>
  </w:style>
  <w:style w:type="paragraph" w:styleId="833">
    <w:name w:val="toc 3"/>
    <w:basedOn w:val="662"/>
    <w:next w:val="662"/>
    <w:uiPriority w:val="39"/>
    <w:unhideWhenUsed/>
    <w:pPr>
      <w:ind w:left="567"/>
      <w:spacing w:after="57"/>
    </w:pPr>
  </w:style>
  <w:style w:type="paragraph" w:styleId="834">
    <w:name w:val="toc 4"/>
    <w:basedOn w:val="662"/>
    <w:next w:val="662"/>
    <w:uiPriority w:val="39"/>
    <w:unhideWhenUsed/>
    <w:pPr>
      <w:ind w:left="850"/>
      <w:spacing w:after="57"/>
    </w:pPr>
  </w:style>
  <w:style w:type="paragraph" w:styleId="835">
    <w:name w:val="toc 5"/>
    <w:basedOn w:val="662"/>
    <w:next w:val="662"/>
    <w:uiPriority w:val="39"/>
    <w:unhideWhenUsed/>
    <w:pPr>
      <w:ind w:left="1134"/>
      <w:spacing w:after="57"/>
    </w:pPr>
  </w:style>
  <w:style w:type="paragraph" w:styleId="836">
    <w:name w:val="toc 6"/>
    <w:basedOn w:val="662"/>
    <w:next w:val="662"/>
    <w:uiPriority w:val="39"/>
    <w:unhideWhenUsed/>
    <w:pPr>
      <w:ind w:left="1417"/>
      <w:spacing w:after="57"/>
    </w:pPr>
  </w:style>
  <w:style w:type="paragraph" w:styleId="837">
    <w:name w:val="toc 7"/>
    <w:basedOn w:val="662"/>
    <w:next w:val="662"/>
    <w:uiPriority w:val="39"/>
    <w:unhideWhenUsed/>
    <w:pPr>
      <w:ind w:left="1701"/>
      <w:spacing w:after="57"/>
    </w:pPr>
  </w:style>
  <w:style w:type="paragraph" w:styleId="838">
    <w:name w:val="toc 8"/>
    <w:basedOn w:val="662"/>
    <w:next w:val="662"/>
    <w:uiPriority w:val="39"/>
    <w:unhideWhenUsed/>
    <w:pPr>
      <w:ind w:left="1984"/>
      <w:spacing w:after="57"/>
    </w:pPr>
  </w:style>
  <w:style w:type="paragraph" w:styleId="839">
    <w:name w:val="toc 9"/>
    <w:basedOn w:val="662"/>
    <w:next w:val="662"/>
    <w:uiPriority w:val="39"/>
    <w:unhideWhenUsed/>
    <w:pPr>
      <w:ind w:left="2268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662"/>
    <w:next w:val="662"/>
    <w:uiPriority w:val="99"/>
    <w:unhideWhenUsed/>
    <w:pPr>
      <w:spacing w:after="0"/>
    </w:pPr>
  </w:style>
  <w:style w:type="paragraph" w:styleId="842">
    <w:name w:val="No Spacing"/>
    <w:basedOn w:val="662"/>
    <w:uiPriority w:val="1"/>
    <w:qFormat/>
    <w:pPr>
      <w:spacing w:after="0" w:line="240" w:lineRule="auto"/>
    </w:pPr>
  </w:style>
  <w:style w:type="paragraph" w:styleId="843">
    <w:name w:val="List Paragraph"/>
    <w:basedOn w:val="662"/>
    <w:uiPriority w:val="34"/>
    <w:qFormat/>
    <w:pPr>
      <w:contextualSpacing/>
      <w:ind w:left="720"/>
    </w:pPr>
  </w:style>
  <w:style w:type="paragraph" w:styleId="844">
    <w:name w:val="Balloon Text"/>
    <w:basedOn w:val="662"/>
    <w:link w:val="84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5" w:customStyle="1">
    <w:name w:val="Текст выноски Знак"/>
    <w:basedOn w:val="672"/>
    <w:link w:val="844"/>
    <w:uiPriority w:val="99"/>
    <w:semiHidden/>
    <w:rPr>
      <w:rFonts w:ascii="Tahoma" w:hAnsi="Tahoma" w:eastAsia="Liberation Sans" w:cs="Tahoma"/>
      <w:sz w:val="16"/>
      <w:szCs w:val="16"/>
    </w:rPr>
  </w:style>
  <w:style w:type="paragraph" w:styleId="846" w:customStyle="1">
    <w:name w:val="docdata"/>
    <w:basedOn w:val="66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7">
    <w:name w:val="Normal (Web)"/>
    <w:basedOn w:val="662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8" w:customStyle="1">
    <w:name w:val="2421"/>
    <w:basedOn w:val="672"/>
  </w:style>
  <w:style w:type="paragraph" w:styleId="1_79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2121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_3150" w:customStyle="1">
    <w:name w:val="1622"/>
    <w:basedOn w:val="848"/>
  </w:style>
  <w:style w:type="character" w:styleId="1_3629" w:customStyle="1">
    <w:name w:val="Абзац списка Знак"/>
    <w:basedOn w:val="853"/>
    <w:link w:val="856"/>
    <w:rPr>
      <w:rFonts w:ascii="Times New Roman" w:hAnsi="Times New Roman" w:eastAsia="Times New Roman" w:cs="Times New Roman"/>
      <w:color w:val="000000"/>
      <w:sz w:val="24"/>
      <w:szCs w:val="20"/>
      <w:lang w:eastAsia="ru-RU"/>
    </w:rPr>
  </w:style>
  <w:style w:type="character" w:styleId="1_3630" w:customStyle="1">
    <w:name w:val="1503"/>
    <w:basedOn w:val="848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www.iprbookshop.ru/131103.html" TargetMode="External"/><Relationship Id="rId10" Type="http://schemas.openxmlformats.org/officeDocument/2006/relationships/hyperlink" Target="https://academia-moscow.ru/catalogue/5540/692259" TargetMode="External"/><Relationship Id="rId11" Type="http://schemas.openxmlformats.org/officeDocument/2006/relationships/hyperlink" Target="https://profspo.ru/books/137705" TargetMode="External"/><Relationship Id="rId12" Type="http://schemas.openxmlformats.org/officeDocument/2006/relationships/hyperlink" Target="https://urait.ru/bcode/542696" TargetMode="External"/><Relationship Id="rId13" Type="http://schemas.openxmlformats.org/officeDocument/2006/relationships/hyperlink" Target="https://urait.ru/bcode/538055" TargetMode="External"/><Relationship Id="rId14" Type="http://schemas.openxmlformats.org/officeDocument/2006/relationships/hyperlink" Target="https://urait.ru/bcode/538524" TargetMode="External"/><Relationship Id="rId15" Type="http://schemas.openxmlformats.org/officeDocument/2006/relationships/hyperlink" Target="https://urait.ru/bcode/513805" TargetMode="External"/><Relationship Id="rId16" Type="http://schemas.openxmlformats.org/officeDocument/2006/relationships/hyperlink" Target="http://www.mchs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6</cp:revision>
  <dcterms:created xsi:type="dcterms:W3CDTF">2025-03-03T05:13:00Z</dcterms:created>
  <dcterms:modified xsi:type="dcterms:W3CDTF">2025-07-10T06:41:23Z</dcterms:modified>
</cp:coreProperties>
</file>